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68" w:rsidRDefault="00307C68" w:rsidP="003C752C">
      <w:pPr>
        <w:pStyle w:val="default"/>
        <w:spacing w:before="0" w:beforeAutospacing="0" w:after="0" w:afterAutospacing="0" w:line="330" w:lineRule="atLeast"/>
        <w:jc w:val="center"/>
        <w:rPr>
          <w:noProof/>
          <w:sz w:val="40"/>
          <w:szCs w:val="40"/>
          <w:bdr w:val="none" w:sz="0" w:space="0" w:color="auto" w:frame="1"/>
        </w:rPr>
      </w:pPr>
      <w:r w:rsidRPr="003C752C">
        <w:rPr>
          <w:rStyle w:val="a3"/>
          <w:iCs/>
          <w:sz w:val="40"/>
          <w:szCs w:val="40"/>
        </w:rPr>
        <w:t>Усилия по сохранению и укреплению здоровья</w:t>
      </w:r>
      <w:r w:rsidRPr="003C752C">
        <w:rPr>
          <w:noProof/>
          <w:sz w:val="40"/>
          <w:szCs w:val="40"/>
          <w:bdr w:val="none" w:sz="0" w:space="0" w:color="auto" w:frame="1"/>
        </w:rPr>
        <w:drawing>
          <wp:inline distT="0" distB="0" distL="0" distR="0" wp14:anchorId="753F9474" wp14:editId="232F247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52C" w:rsidRPr="003C752C">
        <w:rPr>
          <w:noProof/>
          <w:sz w:val="40"/>
          <w:szCs w:val="40"/>
          <w:bdr w:val="none" w:sz="0" w:space="0" w:color="auto" w:frame="1"/>
        </w:rPr>
        <w:t>.</w:t>
      </w:r>
      <w:r w:rsidRPr="003C752C">
        <w:rPr>
          <w:noProof/>
          <w:sz w:val="40"/>
          <w:szCs w:val="40"/>
          <w:bdr w:val="none" w:sz="0" w:space="0" w:color="auto" w:frame="1"/>
        </w:rPr>
        <w:drawing>
          <wp:inline distT="0" distB="0" distL="0" distR="0" wp14:anchorId="6296F2DF" wp14:editId="53F048B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C" w:rsidRPr="003C752C" w:rsidRDefault="003C752C" w:rsidP="003C752C">
      <w:pPr>
        <w:pStyle w:val="default"/>
        <w:spacing w:before="0" w:beforeAutospacing="0" w:after="0" w:afterAutospacing="0" w:line="330" w:lineRule="atLeast"/>
        <w:jc w:val="center"/>
        <w:rPr>
          <w:b/>
          <w:bCs/>
          <w:iCs/>
          <w:sz w:val="40"/>
          <w:szCs w:val="40"/>
        </w:rPr>
      </w:pPr>
      <w:r>
        <w:rPr>
          <w:noProof/>
          <w:sz w:val="40"/>
          <w:szCs w:val="40"/>
          <w:bdr w:val="none" w:sz="0" w:space="0" w:color="auto" w:frame="1"/>
        </w:rPr>
        <w:t>План мероприятий.</w:t>
      </w:r>
      <w:bookmarkStart w:id="0" w:name="_GoBack"/>
      <w:bookmarkEnd w:id="0"/>
    </w:p>
    <w:tbl>
      <w:tblPr>
        <w:tblpPr w:leftFromText="180" w:rightFromText="180" w:vertAnchor="page" w:horzAnchor="margin" w:tblpXSpec="center" w:tblpY="2467"/>
        <w:tblW w:w="1105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935"/>
        <w:gridCol w:w="1796"/>
        <w:gridCol w:w="2615"/>
        <w:gridCol w:w="2268"/>
      </w:tblGrid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№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t>п</w:t>
            </w:r>
            <w:proofErr w:type="gramStart"/>
            <w:r w:rsidRPr="00195FAD">
              <w:rPr>
                <w:rFonts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Содержание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Группа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Периодичность выполнения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</w:p>
        </w:tc>
        <w:tc>
          <w:tcPr>
            <w:tcW w:w="10614" w:type="dxa"/>
            <w:gridSpan w:val="4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spellStart"/>
            <w:r w:rsidRPr="00195FAD">
              <w:rPr>
                <w:rFonts w:cs="Times New Roman"/>
                <w:b/>
                <w:bCs/>
                <w:sz w:val="32"/>
                <w:szCs w:val="32"/>
              </w:rPr>
              <w:t>Физкультурно</w:t>
            </w:r>
            <w:proofErr w:type="spellEnd"/>
            <w:r w:rsidRPr="00195FAD">
              <w:rPr>
                <w:rFonts w:cs="Times New Roman"/>
                <w:b/>
                <w:bCs/>
                <w:sz w:val="32"/>
                <w:szCs w:val="32"/>
              </w:rPr>
              <w:t xml:space="preserve"> – оздоровительная и профилактическая работа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Ежегодно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br/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Воспитатели.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утренней гимнастики.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Холодный период года – </w:t>
            </w:r>
            <w:proofErr w:type="gramStart"/>
            <w:r w:rsidRPr="00195FAD">
              <w:rPr>
                <w:rFonts w:cs="Times New Roman"/>
                <w:sz w:val="32"/>
                <w:szCs w:val="32"/>
              </w:rPr>
              <w:t>групповая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>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Тёплый период года – улица.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подвижных игр, спортивных упражнений, эстафет, соревнований, оздоровительного бега в группе и на прогулке.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 праздника здоровья.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  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Организация воздушных, </w:t>
            </w:r>
            <w:r w:rsidRPr="00195FAD">
              <w:rPr>
                <w:rFonts w:cs="Times New Roman"/>
                <w:sz w:val="32"/>
                <w:szCs w:val="32"/>
              </w:rPr>
              <w:lastRenderedPageBreak/>
              <w:t>солнечных ванн в режимных моментах, гимнастика после сна.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 xml:space="preserve">все </w:t>
            </w:r>
            <w:r w:rsidRPr="00195FAD">
              <w:rPr>
                <w:rFonts w:cs="Times New Roman"/>
                <w:sz w:val="32"/>
                <w:szCs w:val="32"/>
              </w:rPr>
              <w:lastRenderedPageBreak/>
              <w:t>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Организация водных процедур (гигиеничное умывание </w:t>
            </w:r>
            <w:proofErr w:type="spellStart"/>
            <w:proofErr w:type="gramStart"/>
            <w:r w:rsidRPr="00195FAD">
              <w:rPr>
                <w:rFonts w:cs="Times New Roman"/>
                <w:sz w:val="32"/>
                <w:szCs w:val="32"/>
              </w:rPr>
              <w:t>умывание</w:t>
            </w:r>
            <w:proofErr w:type="spellEnd"/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, 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мытьё рук перед приёмом пищи и по мере загрязнения)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   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t>в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>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Использование релаксационных пауз: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минутки тишины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все</w:t>
            </w:r>
            <w:r w:rsidRPr="00195FAD">
              <w:rPr>
                <w:rFonts w:cs="Times New Roman"/>
                <w:sz w:val="32"/>
                <w:szCs w:val="32"/>
              </w:rPr>
              <w:drawing>
                <wp:inline distT="0" distB="0" distL="0" distR="0" wp14:anchorId="1428EE16" wp14:editId="01427BD7">
                  <wp:extent cx="8255" cy="8255"/>
                  <wp:effectExtent l="0" t="0" r="0" b="0"/>
                  <wp:docPr id="5" name="Рисунок 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возрастные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  <w:proofErr w:type="gramStart"/>
            <w:r w:rsidRPr="00195FAD">
              <w:rPr>
                <w:rFonts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Осмотр детей узкими </w:t>
            </w:r>
            <w:r w:rsidRPr="00195FAD">
              <w:rPr>
                <w:rFonts w:cs="Times New Roman"/>
                <w:sz w:val="32"/>
                <w:szCs w:val="32"/>
              </w:rPr>
              <w:lastRenderedPageBreak/>
              <w:t>специалистами (детский педиатр, ЛОР, хирург, окулист)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 xml:space="preserve">все </w:t>
            </w:r>
            <w:r w:rsidRPr="00195FAD">
              <w:rPr>
                <w:rFonts w:cs="Times New Roman"/>
                <w:sz w:val="32"/>
                <w:szCs w:val="32"/>
              </w:rPr>
              <w:lastRenderedPageBreak/>
              <w:t>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lastRenderedPageBreak/>
              <w:t>Согласно плана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lastRenderedPageBreak/>
              <w:t>Злынковской</w:t>
            </w:r>
            <w:proofErr w:type="spellEnd"/>
            <w:r w:rsidRPr="00195FAD">
              <w:rPr>
                <w:rFonts w:cs="Times New Roman"/>
                <w:sz w:val="32"/>
                <w:szCs w:val="32"/>
              </w:rPr>
              <w:t xml:space="preserve"> ЦРБ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lastRenderedPageBreak/>
              <w:t>Согласно плана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lastRenderedPageBreak/>
              <w:t>Злынковской</w:t>
            </w:r>
            <w:proofErr w:type="spellEnd"/>
            <w:r w:rsidRPr="00195FAD">
              <w:rPr>
                <w:rFonts w:cs="Times New Roman"/>
                <w:sz w:val="32"/>
                <w:szCs w:val="32"/>
              </w:rPr>
              <w:t xml:space="preserve"> ЦРБ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lastRenderedPageBreak/>
              <w:t>12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проведения профилактических прививок согласно, календаря прививок.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t>Согласно плана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t>Злынковской</w:t>
            </w:r>
            <w:proofErr w:type="spellEnd"/>
            <w:r w:rsidRPr="00195FAD">
              <w:rPr>
                <w:rFonts w:cs="Times New Roman"/>
                <w:sz w:val="32"/>
                <w:szCs w:val="32"/>
              </w:rPr>
              <w:t xml:space="preserve"> ЦРБ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t>Согласно плана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t>Злынковской</w:t>
            </w:r>
            <w:proofErr w:type="spellEnd"/>
            <w:r w:rsidRPr="00195FAD">
              <w:rPr>
                <w:rFonts w:cs="Times New Roman"/>
                <w:sz w:val="32"/>
                <w:szCs w:val="32"/>
              </w:rPr>
              <w:t xml:space="preserve"> ЦРБ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проведения профилактических мер против гриппа и вирусных заболеваний: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систематическое проветривание,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влажная уборка,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-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t>кварцевание</w:t>
            </w:r>
            <w:proofErr w:type="spellEnd"/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 осенний и весенний период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Помощник воспитателя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Обеспечение полноценного, рационального, здорового питания: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- использование в меню детей фруктов, овощных салатов, фруктовых соков, напитков из садовых  ягод, кисломолочных продуктов </w:t>
            </w:r>
            <w:proofErr w:type="spellStart"/>
            <w:r w:rsidRPr="00195FAD">
              <w:rPr>
                <w:rFonts w:cs="Times New Roman"/>
                <w:sz w:val="32"/>
                <w:szCs w:val="32"/>
              </w:rPr>
              <w:t>и.т.д</w:t>
            </w:r>
            <w:proofErr w:type="spellEnd"/>
            <w:r w:rsidRPr="00195FAD">
              <w:rPr>
                <w:rFonts w:cs="Times New Roman"/>
                <w:sz w:val="32"/>
                <w:szCs w:val="32"/>
              </w:rPr>
              <w:t>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Администрация 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</w:p>
        </w:tc>
        <w:tc>
          <w:tcPr>
            <w:tcW w:w="10614" w:type="dxa"/>
            <w:gridSpan w:val="4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b/>
                <w:bCs/>
                <w:sz w:val="32"/>
                <w:szCs w:val="32"/>
              </w:rPr>
              <w:t>Мониторинг уровня физического развития и состояния здоровья детей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 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Диагностика физической подготовленности детей (2 раза в год: начало и конец года)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Сентябрь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Май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br/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  <w:r w:rsidRPr="00195FAD">
              <w:rPr>
                <w:rFonts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утреннего приёма с определением состояние детей 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Ежедневно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  <w:lang w:val="en-US"/>
              </w:rPr>
            </w:pPr>
          </w:p>
        </w:tc>
        <w:tc>
          <w:tcPr>
            <w:tcW w:w="10614" w:type="dxa"/>
            <w:gridSpan w:val="4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b/>
                <w:bCs/>
                <w:sz w:val="32"/>
                <w:szCs w:val="32"/>
              </w:rPr>
              <w:t>Взаимодействие с родителями</w:t>
            </w:r>
            <w:proofErr w:type="gramStart"/>
            <w:r w:rsidRPr="00195FAD">
              <w:rPr>
                <w:rFonts w:cs="Times New Roman"/>
                <w:b/>
                <w:bCs/>
                <w:sz w:val="32"/>
                <w:szCs w:val="32"/>
              </w:rPr>
              <w:t xml:space="preserve"> .</w:t>
            </w:r>
            <w:proofErr w:type="gramEnd"/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Организация родительских собраний посвящённых сохранению и укреплению здоровья детей.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Согласно, плана воспитателя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Информационная и наглядная пропаганда о ЗОЖ</w:t>
            </w:r>
            <w:proofErr w:type="gramStart"/>
            <w:r w:rsidRPr="00195FAD">
              <w:rPr>
                <w:rFonts w:cs="Times New Roman"/>
                <w:sz w:val="32"/>
                <w:szCs w:val="32"/>
              </w:rPr>
              <w:t xml:space="preserve"> :</w:t>
            </w:r>
            <w:proofErr w:type="gramEnd"/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на стендах во всех возрастных группах,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- сайт, социальная сеть </w:t>
            </w:r>
            <w:r w:rsidRPr="00195FAD">
              <w:rPr>
                <w:rFonts w:cs="Times New Roman"/>
                <w:sz w:val="32"/>
                <w:szCs w:val="32"/>
                <w:lang w:val="en-US"/>
              </w:rPr>
              <w:t>VK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папки передвижки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- стенгазеты.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Систематическое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 xml:space="preserve">Консультации, беседы, практикумы с родителями по оздоровлению детей, используя современные </w:t>
            </w:r>
            <w:r w:rsidRPr="00195FAD">
              <w:rPr>
                <w:rFonts w:cs="Times New Roman"/>
                <w:sz w:val="32"/>
                <w:szCs w:val="32"/>
              </w:rPr>
              <w:lastRenderedPageBreak/>
              <w:t>методы и приёмы.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 </w:t>
            </w:r>
          </w:p>
        </w:tc>
      </w:tr>
      <w:tr w:rsidR="00195FAD" w:rsidRPr="00195FAD" w:rsidTr="00195FAD">
        <w:tc>
          <w:tcPr>
            <w:tcW w:w="43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93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Активное участие родителей в семейных спортивных праздниках.</w:t>
            </w: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  </w:t>
            </w:r>
          </w:p>
        </w:tc>
        <w:tc>
          <w:tcPr>
            <w:tcW w:w="1796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все возрастные группы</w:t>
            </w:r>
          </w:p>
        </w:tc>
        <w:tc>
          <w:tcPr>
            <w:tcW w:w="2615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195FAD">
              <w:rPr>
                <w:rFonts w:cs="Times New Roman"/>
                <w:sz w:val="32"/>
                <w:szCs w:val="32"/>
              </w:rPr>
              <w:t>Согласно планов</w:t>
            </w:r>
            <w:proofErr w:type="gramEnd"/>
            <w:r w:rsidRPr="00195FAD">
              <w:rPr>
                <w:rFonts w:cs="Times New Roman"/>
                <w:sz w:val="32"/>
                <w:szCs w:val="32"/>
              </w:rPr>
              <w:t xml:space="preserve"> проводимых мероприятий.</w:t>
            </w:r>
          </w:p>
        </w:tc>
        <w:tc>
          <w:tcPr>
            <w:tcW w:w="2268" w:type="dxa"/>
            <w:shd w:val="clear" w:color="auto" w:fill="auto"/>
            <w:hideMark/>
          </w:tcPr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195FAD" w:rsidRPr="00195FAD" w:rsidRDefault="00195FAD" w:rsidP="00195FA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95FAD">
              <w:rPr>
                <w:rFonts w:cs="Times New Roman"/>
                <w:sz w:val="32"/>
                <w:szCs w:val="32"/>
              </w:rPr>
              <w:t>Воспитатели</w:t>
            </w:r>
          </w:p>
        </w:tc>
      </w:tr>
    </w:tbl>
    <w:p w:rsidR="00307C68" w:rsidRPr="003C752C" w:rsidRDefault="00307C68" w:rsidP="003C752C">
      <w:pPr>
        <w:pStyle w:val="default"/>
        <w:spacing w:before="0" w:beforeAutospacing="0" w:after="55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3C752C">
        <w:rPr>
          <w:sz w:val="28"/>
          <w:szCs w:val="28"/>
        </w:rPr>
        <w:t xml:space="preserve">Одной из важных задач МБОУ Роговской ООШ дошкольная группа является создание условий для охраны жизни и укрепления здоровья детей. Для её решения проводится систематическая работа. </w:t>
      </w:r>
      <w:proofErr w:type="gramStart"/>
      <w:r w:rsidRPr="003C752C">
        <w:rPr>
          <w:sz w:val="28"/>
          <w:szCs w:val="28"/>
        </w:rPr>
        <w:t>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</w:t>
      </w:r>
      <w:proofErr w:type="gramEnd"/>
      <w:r w:rsidRPr="003C752C">
        <w:rPr>
          <w:sz w:val="28"/>
          <w:szCs w:val="28"/>
        </w:rPr>
        <w:t xml:space="preserve"> 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</w:t>
      </w:r>
      <w:proofErr w:type="gramStart"/>
      <w:r w:rsidRPr="003C752C">
        <w:rPr>
          <w:sz w:val="28"/>
          <w:szCs w:val="28"/>
        </w:rPr>
        <w:t>ритмические упражнения</w:t>
      </w:r>
      <w:proofErr w:type="gramEnd"/>
      <w:r w:rsidRPr="003C752C">
        <w:rPr>
          <w:sz w:val="28"/>
          <w:szCs w:val="28"/>
        </w:rPr>
        <w:t xml:space="preserve"> и подвижные игры). В теплый и в летний период утренняя гимнастика и физкультурные занятия проводятся на открытом воздухе. В сетку занятий каждой возрастной группы включены 3 физкультурных занятия </w:t>
      </w:r>
      <w:proofErr w:type="gramStart"/>
      <w:r w:rsidRPr="003C752C">
        <w:rPr>
          <w:sz w:val="28"/>
          <w:szCs w:val="28"/>
        </w:rPr>
        <w:t xml:space="preserve">( </w:t>
      </w:r>
      <w:proofErr w:type="gramEnd"/>
      <w:r w:rsidRPr="003C752C">
        <w:rPr>
          <w:sz w:val="28"/>
          <w:szCs w:val="28"/>
        </w:rPr>
        <w:t xml:space="preserve">кроме групп раннего возраста). Для детей старшего дошкольного возраста одно из занятий проводится на улице (если позволяют погодные условия). Уделяется внимание профилактике переутомления детей, проводятся </w:t>
      </w:r>
      <w:proofErr w:type="spellStart"/>
      <w:r w:rsidRPr="003C752C">
        <w:rPr>
          <w:sz w:val="28"/>
          <w:szCs w:val="28"/>
        </w:rPr>
        <w:t>физминутки</w:t>
      </w:r>
      <w:proofErr w:type="spellEnd"/>
      <w:r w:rsidRPr="003C752C">
        <w:rPr>
          <w:sz w:val="28"/>
          <w:szCs w:val="28"/>
        </w:rPr>
        <w:t>, «минутки тишины», пальчиковые игры, артикуляционная гимнастика, гимнастика пробуждения (после дневного сна), соблюдается дифференцированная нагрузка на физкультурных занятиях. Для занятий физкультурой созданы условия в детском саду. </w:t>
      </w:r>
    </w:p>
    <w:p w:rsidR="00B565B9" w:rsidRPr="003C752C" w:rsidRDefault="00B565B9" w:rsidP="003C752C">
      <w:pPr>
        <w:rPr>
          <w:rFonts w:cs="Times New Roman"/>
          <w:sz w:val="28"/>
          <w:szCs w:val="28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Default="00195FAD">
      <w:pPr>
        <w:rPr>
          <w:rFonts w:cs="Times New Roman"/>
          <w:szCs w:val="24"/>
        </w:rPr>
      </w:pPr>
    </w:p>
    <w:p w:rsidR="00195FAD" w:rsidRPr="00195FAD" w:rsidRDefault="00195FAD">
      <w:pPr>
        <w:rPr>
          <w:rFonts w:cs="Times New Roman"/>
          <w:szCs w:val="24"/>
        </w:rPr>
      </w:pPr>
    </w:p>
    <w:p w:rsidR="00195FAD" w:rsidRDefault="00195FAD" w:rsidP="00195FAD">
      <w:pPr>
        <w:jc w:val="center"/>
        <w:rPr>
          <w:rFonts w:cs="Times New Roman"/>
          <w:sz w:val="32"/>
          <w:szCs w:val="32"/>
        </w:rPr>
      </w:pPr>
    </w:p>
    <w:p w:rsidR="00195FAD" w:rsidRPr="00195FAD" w:rsidRDefault="00195FAD" w:rsidP="00195FAD">
      <w:pPr>
        <w:jc w:val="center"/>
        <w:rPr>
          <w:rFonts w:cs="Times New Roman"/>
          <w:sz w:val="32"/>
          <w:szCs w:val="32"/>
        </w:rPr>
      </w:pPr>
    </w:p>
    <w:sectPr w:rsidR="00195FAD" w:rsidRPr="00195FAD" w:rsidSect="00307C6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8"/>
    <w:rsid w:val="00195FAD"/>
    <w:rsid w:val="00307C68"/>
    <w:rsid w:val="003C752C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07C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307C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07C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307C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2023-12-12T15:18:00Z</dcterms:created>
  <dcterms:modified xsi:type="dcterms:W3CDTF">2023-12-13T17:53:00Z</dcterms:modified>
</cp:coreProperties>
</file>